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B13A4" w14:textId="77777777" w:rsidR="005A61A5" w:rsidRDefault="005A61A5" w:rsidP="00FA7D3D">
      <w:pPr>
        <w:pStyle w:val="NormalWeb"/>
        <w:spacing w:before="0" w:beforeAutospacing="0" w:after="0" w:afterAutospacing="0"/>
        <w:rPr>
          <w:rFonts w:ascii="Arial" w:eastAsiaTheme="minorEastAsia" w:hAnsi="Arial" w:cstheme="minorBidi"/>
          <w:b/>
          <w:bCs/>
          <w:color w:val="000000" w:themeColor="text1"/>
          <w:kern w:val="24"/>
        </w:rPr>
      </w:pPr>
      <w:bookmarkStart w:id="0" w:name="_GoBack"/>
      <w:bookmarkEnd w:id="0"/>
    </w:p>
    <w:p w14:paraId="18ADF0A1" w14:textId="277CE657" w:rsidR="00F013D4" w:rsidRPr="005A61A5" w:rsidRDefault="00A858AD" w:rsidP="00FA7D3D">
      <w:pPr>
        <w:pStyle w:val="NormalWeb"/>
        <w:spacing w:before="0" w:beforeAutospacing="0" w:after="0" w:afterAutospacing="0"/>
        <w:rPr>
          <w:rFonts w:ascii="Arial" w:eastAsiaTheme="minorEastAsia" w:hAnsi="Arial" w:cstheme="minorBidi"/>
          <w:b/>
          <w:bCs/>
          <w:color w:val="000000" w:themeColor="text1"/>
          <w:kern w:val="24"/>
        </w:rPr>
      </w:pPr>
      <w:r w:rsidRPr="005A61A5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Future Generations Commissioner feedback for Sport Wales</w:t>
      </w:r>
      <w:r w:rsidR="00085E65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 xml:space="preserve"> </w:t>
      </w:r>
      <w:r w:rsidR="00116455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–</w:t>
      </w:r>
      <w:r w:rsidR="00085E65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 xml:space="preserve"> </w:t>
      </w:r>
      <w:r w:rsidR="00116455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June 2018</w:t>
      </w:r>
    </w:p>
    <w:p w14:paraId="7EAFCF03" w14:textId="57DF69E0" w:rsidR="00FD5DE6" w:rsidRPr="005A61A5" w:rsidRDefault="00A858AD" w:rsidP="00FA7D3D">
      <w:pPr>
        <w:pStyle w:val="NormalWeb"/>
        <w:spacing w:before="0" w:beforeAutospacing="0" w:after="0" w:afterAutospacing="0"/>
        <w:rPr>
          <w:rFonts w:ascii="Arial" w:eastAsiaTheme="minorEastAsia" w:hAnsi="Arial" w:cstheme="minorBidi"/>
          <w:b/>
          <w:bCs/>
          <w:color w:val="000000" w:themeColor="text1"/>
          <w:kern w:val="24"/>
        </w:rPr>
      </w:pPr>
      <w:r w:rsidRPr="005A61A5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(informed through the self-reflection exercise)</w:t>
      </w:r>
    </w:p>
    <w:p w14:paraId="5A926CBC" w14:textId="3E6241B0" w:rsidR="00FD5DE6" w:rsidRPr="005A61A5" w:rsidRDefault="00FD5DE6" w:rsidP="00FA7D3D">
      <w:pPr>
        <w:pStyle w:val="NormalWeb"/>
        <w:spacing w:before="0" w:beforeAutospacing="0" w:after="0" w:afterAutospacing="0"/>
        <w:rPr>
          <w:rFonts w:ascii="Arial" w:eastAsiaTheme="minorEastAsia" w:hAnsi="Arial" w:cstheme="minorBidi"/>
          <w:b/>
          <w:bCs/>
          <w:color w:val="000000" w:themeColor="text1"/>
          <w:kern w:val="24"/>
        </w:rPr>
      </w:pPr>
    </w:p>
    <w:p w14:paraId="64A87FC3" w14:textId="77777777" w:rsidR="005A61A5" w:rsidRDefault="005A61A5" w:rsidP="00FA7D3D">
      <w:pPr>
        <w:pStyle w:val="NormalWeb"/>
        <w:spacing w:before="0" w:beforeAutospacing="0" w:after="0" w:afterAutospacing="0"/>
        <w:rPr>
          <w:rFonts w:ascii="Arial" w:eastAsiaTheme="minorEastAsia" w:hAnsi="Arial" w:cstheme="minorBidi"/>
          <w:b/>
          <w:bCs/>
          <w:color w:val="000000" w:themeColor="text1"/>
          <w:kern w:val="24"/>
        </w:rPr>
      </w:pPr>
    </w:p>
    <w:p w14:paraId="6B4951F7" w14:textId="4CDD6640" w:rsidR="00FD5DE6" w:rsidRPr="005A61A5" w:rsidRDefault="00A858AD" w:rsidP="00FA7D3D">
      <w:pPr>
        <w:pStyle w:val="NormalWeb"/>
        <w:spacing w:before="0" w:beforeAutospacing="0" w:after="0" w:afterAutospacing="0"/>
        <w:rPr>
          <w:rFonts w:ascii="Arial" w:eastAsiaTheme="minorEastAsia" w:hAnsi="Arial" w:cstheme="minorBidi"/>
          <w:b/>
          <w:bCs/>
          <w:color w:val="000000" w:themeColor="text1"/>
          <w:kern w:val="24"/>
        </w:rPr>
      </w:pPr>
      <w:r w:rsidRPr="005A61A5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A summary of g</w:t>
      </w:r>
      <w:r w:rsidR="00FD5DE6" w:rsidRPr="005A61A5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 xml:space="preserve">eneral </w:t>
      </w:r>
      <w:r w:rsidRPr="005A61A5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f</w:t>
      </w:r>
      <w:r w:rsidR="00FD5DE6" w:rsidRPr="005A61A5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eedback:</w:t>
      </w:r>
    </w:p>
    <w:p w14:paraId="7B03CAFF" w14:textId="5B8F9371" w:rsidR="00673820" w:rsidRPr="005A61A5" w:rsidRDefault="00673820" w:rsidP="00FA7D3D">
      <w:pPr>
        <w:pStyle w:val="NormalWeb"/>
        <w:spacing w:before="0" w:beforeAutospacing="0" w:after="0" w:afterAutospacing="0"/>
        <w:rPr>
          <w:rFonts w:ascii="Arial" w:eastAsiaTheme="minorEastAsia" w:hAnsi="Arial" w:cstheme="minorBidi"/>
          <w:b/>
          <w:bCs/>
          <w:color w:val="000000" w:themeColor="text1"/>
          <w:kern w:val="24"/>
        </w:rPr>
      </w:pPr>
    </w:p>
    <w:p w14:paraId="343F9A82" w14:textId="5ACC37DE" w:rsidR="00673820" w:rsidRPr="005A61A5" w:rsidRDefault="00673820" w:rsidP="005A61A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Calibri"/>
          <w:kern w:val="24"/>
          <w:sz w:val="24"/>
          <w:szCs w:val="24"/>
          <w:lang w:val="en-US" w:eastAsia="en-GB"/>
        </w:rPr>
      </w:pPr>
      <w:r w:rsidRPr="005A61A5">
        <w:rPr>
          <w:rFonts w:ascii="Arial" w:eastAsia="Calibri" w:hAnsi="Arial" w:cs="Calibri"/>
          <w:kern w:val="24"/>
          <w:sz w:val="24"/>
          <w:szCs w:val="24"/>
          <w:lang w:val="en-US" w:eastAsia="en-GB"/>
        </w:rPr>
        <w:t xml:space="preserve">We welcome </w:t>
      </w:r>
      <w:r w:rsidR="00E5715F" w:rsidRPr="005A61A5">
        <w:rPr>
          <w:rFonts w:ascii="Arial" w:eastAsia="Calibri" w:hAnsi="Arial" w:cs="Calibri"/>
          <w:kern w:val="24"/>
          <w:sz w:val="24"/>
          <w:szCs w:val="24"/>
          <w:lang w:val="en-US" w:eastAsia="en-GB"/>
        </w:rPr>
        <w:t xml:space="preserve">SW </w:t>
      </w:r>
      <w:r w:rsidRPr="005A61A5">
        <w:rPr>
          <w:rFonts w:ascii="Arial" w:eastAsia="Calibri" w:hAnsi="Arial" w:cs="Calibri"/>
          <w:kern w:val="24"/>
          <w:sz w:val="24"/>
          <w:szCs w:val="24"/>
          <w:lang w:val="en-US" w:eastAsia="en-GB"/>
        </w:rPr>
        <w:t xml:space="preserve">enthusiasm for the Act and the way that you have worked with our office (the secondment agreement; scrutiny work with Sport Wales Board; the Vision for Sport in Wales and Sport Wales Strategy, </w:t>
      </w:r>
      <w:r w:rsidR="001206FD" w:rsidRPr="005A61A5">
        <w:rPr>
          <w:rFonts w:ascii="Arial" w:eastAsia="Calibri" w:hAnsi="Arial" w:cs="Calibri"/>
          <w:kern w:val="24"/>
          <w:sz w:val="24"/>
          <w:szCs w:val="24"/>
          <w:lang w:val="en-US" w:eastAsia="en-GB"/>
        </w:rPr>
        <w:t>i</w:t>
      </w:r>
      <w:r w:rsidRPr="005A61A5">
        <w:rPr>
          <w:rFonts w:ascii="Arial" w:eastAsia="Calibri" w:hAnsi="Arial" w:cs="Calibri"/>
          <w:kern w:val="24"/>
          <w:sz w:val="24"/>
          <w:szCs w:val="24"/>
          <w:lang w:val="en-US" w:eastAsia="en-GB"/>
        </w:rPr>
        <w:t>ntegrated annual reporting</w:t>
      </w:r>
      <w:r w:rsidR="00E5715F" w:rsidRPr="005A61A5">
        <w:rPr>
          <w:rFonts w:ascii="Arial" w:eastAsia="Calibri" w:hAnsi="Arial" w:cs="Calibri"/>
          <w:kern w:val="24"/>
          <w:sz w:val="24"/>
          <w:szCs w:val="24"/>
          <w:lang w:val="en-US" w:eastAsia="en-GB"/>
        </w:rPr>
        <w:t>)</w:t>
      </w:r>
      <w:r w:rsidRPr="005A61A5">
        <w:rPr>
          <w:rFonts w:ascii="Arial" w:eastAsia="Calibri" w:hAnsi="Arial" w:cs="Calibri"/>
          <w:kern w:val="24"/>
          <w:sz w:val="24"/>
          <w:szCs w:val="24"/>
          <w:lang w:val="en-US" w:eastAsia="en-GB"/>
        </w:rPr>
        <w:t>.</w:t>
      </w:r>
    </w:p>
    <w:p w14:paraId="170642AA" w14:textId="77777777" w:rsidR="00673820" w:rsidRPr="00673820" w:rsidRDefault="00673820" w:rsidP="006738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1748DE" w14:textId="75208A98" w:rsidR="00673820" w:rsidRPr="005A61A5" w:rsidRDefault="00673820" w:rsidP="005A61A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Calibri"/>
          <w:kern w:val="24"/>
          <w:sz w:val="24"/>
          <w:szCs w:val="24"/>
          <w:lang w:val="en-US" w:eastAsia="en-GB"/>
        </w:rPr>
      </w:pPr>
      <w:r w:rsidRPr="005A61A5">
        <w:rPr>
          <w:rFonts w:ascii="Arial" w:eastAsia="Calibri" w:hAnsi="Arial" w:cs="Calibri"/>
          <w:kern w:val="24"/>
          <w:sz w:val="24"/>
          <w:szCs w:val="24"/>
          <w:lang w:val="en-US" w:eastAsia="en-GB"/>
        </w:rPr>
        <w:t xml:space="preserve">The approach to making simple changes within Sport Wales </w:t>
      </w:r>
      <w:r w:rsidR="00E5715F" w:rsidRPr="005A61A5">
        <w:rPr>
          <w:rFonts w:ascii="Arial" w:eastAsia="Calibri" w:hAnsi="Arial" w:cs="Calibri"/>
          <w:kern w:val="24"/>
          <w:sz w:val="24"/>
          <w:szCs w:val="24"/>
          <w:lang w:val="en-US" w:eastAsia="en-GB"/>
        </w:rPr>
        <w:t xml:space="preserve">are commended, </w:t>
      </w:r>
      <w:r w:rsidRPr="005A61A5">
        <w:rPr>
          <w:rFonts w:ascii="Arial" w:eastAsia="Calibri" w:hAnsi="Arial" w:cs="Calibri"/>
          <w:kern w:val="24"/>
          <w:sz w:val="24"/>
          <w:szCs w:val="24"/>
          <w:lang w:val="en-US" w:eastAsia="en-GB"/>
        </w:rPr>
        <w:t>such as the introduction of bio-degradable materials in the cafe and the work you have done to make the National Centre energy efficient and reduce water consumption</w:t>
      </w:r>
      <w:r w:rsidR="00E5715F" w:rsidRPr="005A61A5">
        <w:rPr>
          <w:rFonts w:ascii="Arial" w:eastAsia="Calibri" w:hAnsi="Arial" w:cs="Calibri"/>
          <w:kern w:val="24"/>
          <w:sz w:val="24"/>
          <w:szCs w:val="24"/>
          <w:lang w:val="en-US" w:eastAsia="en-GB"/>
        </w:rPr>
        <w:t>.</w:t>
      </w:r>
      <w:r w:rsidRPr="005A61A5">
        <w:rPr>
          <w:rFonts w:ascii="Arial" w:eastAsia="Calibri" w:hAnsi="Arial" w:cs="Calibri"/>
          <w:kern w:val="24"/>
          <w:sz w:val="24"/>
          <w:szCs w:val="24"/>
          <w:lang w:val="en-US" w:eastAsia="en-GB"/>
        </w:rPr>
        <w:t xml:space="preserve"> Other examples include the Young Ambassadors project, the inclusion of the Act within role descriptions and, more recently, the purchasing of a hybrid pool car.</w:t>
      </w:r>
    </w:p>
    <w:p w14:paraId="2167FE97" w14:textId="77777777" w:rsidR="00673820" w:rsidRPr="005A61A5" w:rsidRDefault="00673820" w:rsidP="00673820">
      <w:pPr>
        <w:spacing w:after="0" w:line="240" w:lineRule="auto"/>
        <w:contextualSpacing/>
        <w:rPr>
          <w:rFonts w:ascii="Arial" w:eastAsia="Calibri" w:hAnsi="Arial" w:cs="Calibri"/>
          <w:kern w:val="24"/>
          <w:sz w:val="24"/>
          <w:szCs w:val="24"/>
          <w:lang w:val="en-US" w:eastAsia="en-GB"/>
        </w:rPr>
      </w:pPr>
    </w:p>
    <w:p w14:paraId="235325BF" w14:textId="2532E4BE" w:rsidR="00673820" w:rsidRPr="005A61A5" w:rsidRDefault="00673820" w:rsidP="005A61A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Calibri"/>
          <w:kern w:val="24"/>
          <w:sz w:val="24"/>
          <w:szCs w:val="24"/>
          <w:lang w:eastAsia="en-GB"/>
        </w:rPr>
      </w:pPr>
      <w:r w:rsidRPr="005A61A5">
        <w:rPr>
          <w:rFonts w:ascii="Arial" w:eastAsia="Calibri" w:hAnsi="Arial" w:cs="Calibri"/>
          <w:kern w:val="24"/>
          <w:sz w:val="24"/>
          <w:szCs w:val="24"/>
          <w:lang w:eastAsia="en-GB"/>
        </w:rPr>
        <w:t>You have clearly demonstrated a positive approach to collaborative working and would encourage building upon this. For instance, the work on the Healthy and Active Fund, your involvement with the National Public Bodies’ Network</w:t>
      </w:r>
      <w:r w:rsidR="00793905" w:rsidRPr="005A61A5">
        <w:rPr>
          <w:rFonts w:ascii="Arial" w:eastAsia="Calibri" w:hAnsi="Arial" w:cs="Calibri"/>
          <w:kern w:val="24"/>
          <w:sz w:val="24"/>
          <w:szCs w:val="24"/>
          <w:lang w:eastAsia="en-GB"/>
        </w:rPr>
        <w:t>s</w:t>
      </w:r>
      <w:r w:rsidRPr="005A61A5">
        <w:rPr>
          <w:rFonts w:ascii="Arial" w:eastAsia="Calibri" w:hAnsi="Arial" w:cs="Calibri"/>
          <w:kern w:val="24"/>
          <w:sz w:val="24"/>
          <w:szCs w:val="24"/>
          <w:lang w:eastAsia="en-GB"/>
        </w:rPr>
        <w:t> and the Collaboration Toolkit you have developed and the prioritisation you have given to collaboration.</w:t>
      </w:r>
    </w:p>
    <w:p w14:paraId="39EC7108" w14:textId="77777777" w:rsidR="00673820" w:rsidRPr="00673820" w:rsidRDefault="00673820" w:rsidP="006738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334B0C" w14:textId="27D2B41F" w:rsidR="00A858AD" w:rsidRPr="005A61A5" w:rsidRDefault="00A858AD" w:rsidP="00FA7D3D">
      <w:pPr>
        <w:pStyle w:val="NormalWeb"/>
        <w:spacing w:before="0" w:beforeAutospacing="0" w:after="0" w:afterAutospacing="0"/>
        <w:rPr>
          <w:rFonts w:ascii="Arial" w:eastAsiaTheme="minorEastAsia" w:hAnsi="Arial" w:cstheme="minorBidi"/>
          <w:b/>
          <w:bCs/>
          <w:color w:val="000000" w:themeColor="text1"/>
          <w:kern w:val="24"/>
        </w:rPr>
      </w:pPr>
    </w:p>
    <w:p w14:paraId="5954DBE8" w14:textId="109B9E23" w:rsidR="00A858AD" w:rsidRPr="005A61A5" w:rsidRDefault="00A858AD" w:rsidP="00FA7D3D">
      <w:pPr>
        <w:pStyle w:val="NormalWeb"/>
        <w:spacing w:before="0" w:beforeAutospacing="0" w:after="0" w:afterAutospacing="0"/>
        <w:rPr>
          <w:rFonts w:ascii="Arial" w:eastAsiaTheme="minorEastAsia" w:hAnsi="Arial" w:cstheme="minorBidi"/>
          <w:b/>
          <w:bCs/>
          <w:color w:val="000000" w:themeColor="text1"/>
          <w:kern w:val="24"/>
        </w:rPr>
      </w:pPr>
      <w:r w:rsidRPr="005A61A5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A summary of recommendations</w:t>
      </w:r>
      <w:r w:rsidR="003A5BC5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 xml:space="preserve"> to take forward.</w:t>
      </w:r>
    </w:p>
    <w:p w14:paraId="75C9E020" w14:textId="77777777" w:rsidR="00E0785A" w:rsidRPr="005A61A5" w:rsidRDefault="00E0785A" w:rsidP="00FA7D3D">
      <w:pPr>
        <w:pStyle w:val="NormalWeb"/>
        <w:spacing w:before="0" w:beforeAutospacing="0" w:after="0" w:afterAutospacing="0"/>
        <w:rPr>
          <w:rFonts w:ascii="Arial" w:eastAsiaTheme="minorEastAsia" w:hAnsi="Arial" w:cstheme="minorBidi"/>
          <w:b/>
          <w:bCs/>
          <w:color w:val="000000" w:themeColor="text1"/>
          <w:kern w:val="24"/>
        </w:rPr>
      </w:pPr>
    </w:p>
    <w:p w14:paraId="14159765" w14:textId="1103D88E" w:rsidR="00673820" w:rsidRPr="006F178D" w:rsidRDefault="0026383F" w:rsidP="006F178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178D">
        <w:rPr>
          <w:rFonts w:ascii="Arial" w:hAnsi="Arial" w:cs="Calibri"/>
          <w:kern w:val="24"/>
          <w:sz w:val="24"/>
          <w:szCs w:val="24"/>
          <w:lang w:eastAsia="en-GB"/>
        </w:rPr>
        <w:t xml:space="preserve">Progress application of the </w:t>
      </w:r>
      <w:r w:rsidR="00673820" w:rsidRPr="006F178D">
        <w:rPr>
          <w:rFonts w:ascii="Arial" w:hAnsi="Arial" w:cs="Calibri"/>
          <w:kern w:val="24"/>
          <w:sz w:val="24"/>
          <w:szCs w:val="24"/>
          <w:lang w:eastAsia="en-GB"/>
        </w:rPr>
        <w:t xml:space="preserve">five ways of working </w:t>
      </w:r>
      <w:r w:rsidRPr="006F178D">
        <w:rPr>
          <w:rFonts w:ascii="Arial" w:hAnsi="Arial" w:cs="Calibri"/>
          <w:kern w:val="24"/>
          <w:sz w:val="24"/>
          <w:szCs w:val="24"/>
          <w:lang w:eastAsia="en-GB"/>
        </w:rPr>
        <w:t xml:space="preserve">showing examples </w:t>
      </w:r>
      <w:r w:rsidR="00673820" w:rsidRPr="006F178D">
        <w:rPr>
          <w:rFonts w:ascii="Arial" w:hAnsi="Arial" w:cs="Calibri"/>
          <w:kern w:val="24"/>
          <w:sz w:val="24"/>
          <w:szCs w:val="24"/>
          <w:lang w:eastAsia="en-GB"/>
        </w:rPr>
        <w:t>in this year's reporting.</w:t>
      </w:r>
    </w:p>
    <w:p w14:paraId="4B243B34" w14:textId="77777777" w:rsidR="00F013D4" w:rsidRPr="006F178D" w:rsidRDefault="00F013D4" w:rsidP="00FA7D3D">
      <w:pPr>
        <w:pStyle w:val="NormalWeb"/>
        <w:spacing w:before="0" w:beforeAutospacing="0" w:after="0" w:afterAutospacing="0"/>
        <w:rPr>
          <w:rFonts w:ascii="Arial" w:eastAsiaTheme="minorEastAsia" w:hAnsi="Arial" w:cstheme="minorBidi"/>
          <w:color w:val="000000" w:themeColor="text1"/>
          <w:kern w:val="24"/>
        </w:rPr>
      </w:pPr>
    </w:p>
    <w:p w14:paraId="24A75386" w14:textId="68F7C94C" w:rsidR="00FA7D3D" w:rsidRPr="006F178D" w:rsidRDefault="00017A00" w:rsidP="006F178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6F178D">
        <w:rPr>
          <w:rFonts w:ascii="Arial" w:eastAsiaTheme="minorEastAsia" w:hAnsi="Arial" w:cstheme="minorBidi"/>
          <w:color w:val="000000" w:themeColor="text1"/>
          <w:kern w:val="24"/>
        </w:rPr>
        <w:t>C</w:t>
      </w:r>
      <w:r w:rsidR="00FA7D3D" w:rsidRPr="006F178D">
        <w:rPr>
          <w:rFonts w:ascii="Arial" w:eastAsiaTheme="minorEastAsia" w:hAnsi="Arial" w:cstheme="minorBidi"/>
          <w:color w:val="000000" w:themeColor="text1"/>
          <w:kern w:val="24"/>
        </w:rPr>
        <w:t xml:space="preserve">onsidering how your duties under the Act translate to community level. </w:t>
      </w:r>
    </w:p>
    <w:p w14:paraId="4AA3709E" w14:textId="5432282C" w:rsidR="00FA7D3D" w:rsidRPr="006F178D" w:rsidRDefault="00EE6D5A" w:rsidP="006F178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6F178D">
        <w:rPr>
          <w:rFonts w:ascii="Arial" w:eastAsiaTheme="minorEastAsia" w:hAnsi="Arial" w:cstheme="minorBidi"/>
          <w:color w:val="000000" w:themeColor="text1"/>
          <w:kern w:val="24"/>
        </w:rPr>
        <w:t>C</w:t>
      </w:r>
      <w:r w:rsidR="00FA7D3D" w:rsidRPr="006F178D">
        <w:rPr>
          <w:rFonts w:ascii="Arial" w:eastAsiaTheme="minorEastAsia" w:hAnsi="Arial" w:cstheme="minorBidi"/>
          <w:color w:val="000000" w:themeColor="text1"/>
          <w:kern w:val="24"/>
        </w:rPr>
        <w:t>hang</w:t>
      </w:r>
      <w:r w:rsidRPr="006F178D">
        <w:rPr>
          <w:rFonts w:ascii="Arial" w:eastAsiaTheme="minorEastAsia" w:hAnsi="Arial" w:cstheme="minorBidi"/>
          <w:color w:val="000000" w:themeColor="text1"/>
          <w:kern w:val="24"/>
        </w:rPr>
        <w:t>ing your own practice</w:t>
      </w:r>
      <w:r w:rsidR="00FA7D3D" w:rsidRPr="006F178D">
        <w:rPr>
          <w:rFonts w:ascii="Arial" w:eastAsiaTheme="minorEastAsia" w:hAnsi="Arial" w:cstheme="minorBidi"/>
          <w:color w:val="000000" w:themeColor="text1"/>
          <w:kern w:val="24"/>
        </w:rPr>
        <w:t xml:space="preserve"> – particularly in the seven corporate areas set out by the Act's guidance</w:t>
      </w:r>
      <w:r w:rsidR="005904EA" w:rsidRPr="006F178D">
        <w:rPr>
          <w:rFonts w:ascii="Arial" w:eastAsiaTheme="minorEastAsia" w:hAnsi="Arial" w:cstheme="minorBidi"/>
          <w:color w:val="000000" w:themeColor="text1"/>
          <w:kern w:val="24"/>
        </w:rPr>
        <w:t>.</w:t>
      </w:r>
    </w:p>
    <w:p w14:paraId="11CDD35D" w14:textId="4DC14B1E" w:rsidR="00FA7D3D" w:rsidRPr="006F178D" w:rsidRDefault="005904EA" w:rsidP="006F178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6F178D">
        <w:rPr>
          <w:rFonts w:ascii="Arial" w:eastAsiaTheme="minorEastAsia" w:hAnsi="Arial" w:cstheme="minorBidi"/>
          <w:color w:val="000000" w:themeColor="text1"/>
          <w:kern w:val="24"/>
          <w:lang w:val="en-US"/>
        </w:rPr>
        <w:t>E</w:t>
      </w:r>
      <w:r w:rsidR="00FA7D3D" w:rsidRPr="006F178D">
        <w:rPr>
          <w:rFonts w:ascii="Arial" w:eastAsiaTheme="minorEastAsia" w:hAnsi="Arial" w:cstheme="minorBidi"/>
          <w:color w:val="000000" w:themeColor="text1"/>
          <w:kern w:val="24"/>
          <w:lang w:val="en-US"/>
        </w:rPr>
        <w:t>vidence how you’re accelerating action to reduce your emissions, whilst bringing wider well-being benefits. As a minimum, we are asking public bodies to have </w:t>
      </w:r>
      <w:r w:rsidR="00FA7D3D" w:rsidRPr="006F178D">
        <w:rPr>
          <w:rFonts w:ascii="Arial" w:eastAsiaTheme="minorEastAsia" w:hAnsi="Arial" w:cstheme="minorBidi"/>
          <w:color w:val="000000" w:themeColor="text1"/>
          <w:kern w:val="24"/>
        </w:rPr>
        <w:t xml:space="preserve">mapped the areas over which you have </w:t>
      </w:r>
      <w:r w:rsidR="006F178D" w:rsidRPr="006F178D">
        <w:rPr>
          <w:rFonts w:ascii="Arial" w:eastAsiaTheme="minorEastAsia" w:hAnsi="Arial" w:cstheme="minorBidi"/>
          <w:color w:val="000000" w:themeColor="text1"/>
          <w:kern w:val="24"/>
        </w:rPr>
        <w:t>control,</w:t>
      </w:r>
      <w:r w:rsidR="00FA7D3D" w:rsidRPr="006F178D">
        <w:rPr>
          <w:rFonts w:ascii="Arial" w:eastAsiaTheme="minorEastAsia" w:hAnsi="Arial" w:cstheme="minorBidi"/>
          <w:color w:val="000000" w:themeColor="text1"/>
          <w:kern w:val="24"/>
        </w:rPr>
        <w:t xml:space="preserve"> and which have the biggest emissions and to have a plan in place to reduce them</w:t>
      </w:r>
      <w:r w:rsidR="00F24E45" w:rsidRPr="006F178D">
        <w:rPr>
          <w:rFonts w:ascii="Arial" w:eastAsiaTheme="minorEastAsia" w:hAnsi="Arial" w:cstheme="minorBidi"/>
          <w:color w:val="000000" w:themeColor="text1"/>
          <w:kern w:val="24"/>
        </w:rPr>
        <w:t>.</w:t>
      </w:r>
    </w:p>
    <w:p w14:paraId="04B6F4B1" w14:textId="77777777" w:rsidR="00FA7D3D" w:rsidRPr="006F178D" w:rsidRDefault="00FA7D3D" w:rsidP="00FA7D3D">
      <w:pPr>
        <w:pStyle w:val="NormalWeb"/>
        <w:spacing w:before="0" w:beforeAutospacing="0" w:after="0" w:afterAutospacing="0"/>
      </w:pPr>
    </w:p>
    <w:p w14:paraId="3AA47148" w14:textId="77777777" w:rsidR="00F24E45" w:rsidRPr="006F178D" w:rsidRDefault="00FA7D3D" w:rsidP="006F178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6F178D">
        <w:rPr>
          <w:rFonts w:ascii="Arial" w:eastAsiaTheme="minorEastAsia" w:hAnsi="Arial" w:cstheme="minorBidi"/>
          <w:color w:val="000000" w:themeColor="text1"/>
          <w:kern w:val="24"/>
        </w:rPr>
        <w:t>Over the coming year, we expect more public bodies to be pooling budgets and seeking to collaborate in preventing problems. </w:t>
      </w:r>
    </w:p>
    <w:p w14:paraId="04C503D6" w14:textId="77777777" w:rsidR="00D01053" w:rsidRPr="006F178D" w:rsidRDefault="00D01053" w:rsidP="00D01053">
      <w:pPr>
        <w:pStyle w:val="NormalWeb"/>
        <w:spacing w:before="0" w:beforeAutospacing="0" w:after="0" w:afterAutospacing="0"/>
        <w:rPr>
          <w:rFonts w:ascii="Arial" w:eastAsiaTheme="minorEastAsia" w:hAnsi="Arial" w:cstheme="minorBidi"/>
          <w:color w:val="000000" w:themeColor="text1"/>
          <w:kern w:val="24"/>
        </w:rPr>
      </w:pPr>
    </w:p>
    <w:p w14:paraId="1F60B973" w14:textId="6D51095A" w:rsidR="00FA7D3D" w:rsidRPr="006F178D" w:rsidRDefault="00FA7D3D" w:rsidP="006F178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6F178D">
        <w:rPr>
          <w:rFonts w:ascii="Arial" w:eastAsiaTheme="minorEastAsia" w:hAnsi="Arial" w:cstheme="minorBidi"/>
          <w:color w:val="000000" w:themeColor="text1"/>
          <w:kern w:val="24"/>
        </w:rPr>
        <w:t xml:space="preserve">We would like to see more examples </w:t>
      </w:r>
      <w:r w:rsidR="00D01053" w:rsidRPr="006F178D">
        <w:rPr>
          <w:rFonts w:ascii="Arial" w:eastAsiaTheme="minorEastAsia" w:hAnsi="Arial" w:cstheme="minorBidi"/>
          <w:color w:val="000000" w:themeColor="text1"/>
          <w:kern w:val="24"/>
        </w:rPr>
        <w:t xml:space="preserve">of </w:t>
      </w:r>
      <w:r w:rsidRPr="006F178D">
        <w:rPr>
          <w:rFonts w:ascii="Arial" w:eastAsiaTheme="minorEastAsia" w:hAnsi="Arial" w:cstheme="minorBidi"/>
          <w:color w:val="000000" w:themeColor="text1"/>
          <w:kern w:val="24"/>
        </w:rPr>
        <w:t xml:space="preserve">Sport Wales looking beyond their traditional remit to the impact you can have on multiple goals. </w:t>
      </w:r>
    </w:p>
    <w:p w14:paraId="288DF6E1" w14:textId="77777777" w:rsidR="00FD5DE6" w:rsidRPr="006F178D" w:rsidRDefault="00FD5DE6" w:rsidP="00FD5DE6">
      <w:pPr>
        <w:pStyle w:val="NormalWeb"/>
        <w:spacing w:before="0" w:beforeAutospacing="0" w:after="0" w:afterAutospacing="0"/>
      </w:pPr>
    </w:p>
    <w:p w14:paraId="7A555381" w14:textId="08E8A6C7" w:rsidR="00FA7D3D" w:rsidRPr="006F178D" w:rsidRDefault="00FA7D3D" w:rsidP="006F178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F178D">
        <w:rPr>
          <w:rFonts w:ascii="Arial" w:hAnsi="Arial"/>
          <w:color w:val="000000" w:themeColor="text1"/>
          <w:kern w:val="24"/>
          <w:sz w:val="24"/>
          <w:szCs w:val="24"/>
        </w:rPr>
        <w:t>You should also be considering the wider determinants of health</w:t>
      </w:r>
      <w:r w:rsidR="00FB16DD" w:rsidRPr="006F178D">
        <w:rPr>
          <w:rFonts w:ascii="Arial" w:hAnsi="Arial"/>
          <w:color w:val="000000" w:themeColor="text1"/>
          <w:kern w:val="24"/>
          <w:sz w:val="24"/>
          <w:szCs w:val="24"/>
        </w:rPr>
        <w:t xml:space="preserve">, </w:t>
      </w:r>
      <w:r w:rsidRPr="006F178D">
        <w:rPr>
          <w:rFonts w:ascii="Arial" w:hAnsi="Arial"/>
          <w:color w:val="000000" w:themeColor="text1"/>
          <w:kern w:val="24"/>
          <w:sz w:val="24"/>
          <w:szCs w:val="24"/>
        </w:rPr>
        <w:t>you could be showcasing the contribution you can make, with other public bodies, to improving health through prevention.</w:t>
      </w:r>
    </w:p>
    <w:p w14:paraId="3D0E419B" w14:textId="78CB7801" w:rsidR="00FA7D3D" w:rsidRPr="006F178D" w:rsidRDefault="00FA7D3D" w:rsidP="006F178D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6F178D">
        <w:rPr>
          <w:rFonts w:ascii="Arial" w:eastAsiaTheme="minorEastAsia" w:hAnsi="Arial" w:cstheme="minorBidi"/>
          <w:color w:val="000000" w:themeColor="text1"/>
          <w:kern w:val="24"/>
        </w:rPr>
        <w:t xml:space="preserve">You should be taking steps within these objectives that seek to collaborate with other organisations and involve people in what works for them </w:t>
      </w:r>
      <w:r w:rsidR="001A5667" w:rsidRPr="006F178D">
        <w:rPr>
          <w:rFonts w:ascii="Arial" w:eastAsiaTheme="minorEastAsia" w:hAnsi="Arial" w:cstheme="minorBidi"/>
          <w:color w:val="000000" w:themeColor="text1"/>
          <w:kern w:val="24"/>
        </w:rPr>
        <w:t>to</w:t>
      </w:r>
      <w:r w:rsidRPr="006F178D">
        <w:rPr>
          <w:rFonts w:ascii="Arial" w:eastAsiaTheme="minorEastAsia" w:hAnsi="Arial" w:cstheme="minorBidi"/>
          <w:color w:val="000000" w:themeColor="text1"/>
          <w:kern w:val="24"/>
        </w:rPr>
        <w:t xml:space="preserve"> address some of these issues. </w:t>
      </w:r>
      <w:r w:rsidRPr="006F178D">
        <w:rPr>
          <w:rFonts w:ascii="Arial" w:eastAsiaTheme="minorEastAsia" w:hAnsi="Arial" w:cstheme="minorBidi"/>
          <w:kern w:val="24"/>
        </w:rPr>
        <w:t>As you have suggested, you have moved away from general surveys to understanding lived experiences and we would like to see how this is being expanded in this year's annual reporting.</w:t>
      </w:r>
    </w:p>
    <w:p w14:paraId="37343329" w14:textId="3D0E5FD5" w:rsidR="00FA7D3D" w:rsidRPr="006F178D" w:rsidRDefault="00FA7D3D">
      <w:pPr>
        <w:rPr>
          <w:sz w:val="24"/>
          <w:szCs w:val="24"/>
        </w:rPr>
      </w:pPr>
    </w:p>
    <w:sectPr w:rsidR="00FA7D3D" w:rsidRPr="006F178D" w:rsidSect="005A6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F69"/>
    <w:multiLevelType w:val="hybridMultilevel"/>
    <w:tmpl w:val="0DEC6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BDEA6E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CA26584"/>
    <w:multiLevelType w:val="hybridMultilevel"/>
    <w:tmpl w:val="76E80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20330"/>
    <w:multiLevelType w:val="hybridMultilevel"/>
    <w:tmpl w:val="1102BA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97680"/>
    <w:multiLevelType w:val="hybridMultilevel"/>
    <w:tmpl w:val="C22247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40E83"/>
    <w:multiLevelType w:val="hybridMultilevel"/>
    <w:tmpl w:val="D548D01A"/>
    <w:lvl w:ilvl="0" w:tplc="ED102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C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09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8E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20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0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82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4E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AB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7D388C"/>
    <w:multiLevelType w:val="hybridMultilevel"/>
    <w:tmpl w:val="3B22D2B2"/>
    <w:lvl w:ilvl="0" w:tplc="9F3A0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85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0E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64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E6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66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82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20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84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3D"/>
    <w:rsid w:val="00017A00"/>
    <w:rsid w:val="00085E65"/>
    <w:rsid w:val="00116455"/>
    <w:rsid w:val="001206FD"/>
    <w:rsid w:val="001533B5"/>
    <w:rsid w:val="001A5667"/>
    <w:rsid w:val="0026383F"/>
    <w:rsid w:val="00306B7D"/>
    <w:rsid w:val="003A5BC5"/>
    <w:rsid w:val="003E15BA"/>
    <w:rsid w:val="004810F0"/>
    <w:rsid w:val="005904EA"/>
    <w:rsid w:val="005A61A5"/>
    <w:rsid w:val="005B65F6"/>
    <w:rsid w:val="005F163B"/>
    <w:rsid w:val="00673820"/>
    <w:rsid w:val="006F178D"/>
    <w:rsid w:val="00793905"/>
    <w:rsid w:val="00820600"/>
    <w:rsid w:val="00853D9F"/>
    <w:rsid w:val="00880DE9"/>
    <w:rsid w:val="008A2331"/>
    <w:rsid w:val="009D5E2F"/>
    <w:rsid w:val="00A35EEC"/>
    <w:rsid w:val="00A858AD"/>
    <w:rsid w:val="00AE070B"/>
    <w:rsid w:val="00C126C7"/>
    <w:rsid w:val="00C859EE"/>
    <w:rsid w:val="00CC18C4"/>
    <w:rsid w:val="00D01053"/>
    <w:rsid w:val="00E0785A"/>
    <w:rsid w:val="00E27A14"/>
    <w:rsid w:val="00E5715F"/>
    <w:rsid w:val="00EE6D5A"/>
    <w:rsid w:val="00F013D4"/>
    <w:rsid w:val="00F24E45"/>
    <w:rsid w:val="00F3730B"/>
    <w:rsid w:val="00F83447"/>
    <w:rsid w:val="00FA7D3D"/>
    <w:rsid w:val="00FB16DD"/>
    <w:rsid w:val="00F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4328"/>
  <w15:chartTrackingRefBased/>
  <w15:docId w15:val="{58BE7B8A-1819-4C85-8B2D-30611CA4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30B"/>
  </w:style>
  <w:style w:type="paragraph" w:styleId="Heading1">
    <w:name w:val="heading 1"/>
    <w:basedOn w:val="Normal"/>
    <w:next w:val="Normal"/>
    <w:link w:val="Heading1Char"/>
    <w:uiPriority w:val="9"/>
    <w:qFormat/>
    <w:rsid w:val="00F3730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30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30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3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3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3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3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3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3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A7D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3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730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30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30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30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30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30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30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30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30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730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373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3730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30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3730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F3730B"/>
    <w:rPr>
      <w:b/>
      <w:bCs/>
    </w:rPr>
  </w:style>
  <w:style w:type="character" w:styleId="Emphasis">
    <w:name w:val="Emphasis"/>
    <w:basedOn w:val="DefaultParagraphFont"/>
    <w:uiPriority w:val="20"/>
    <w:qFormat/>
    <w:rsid w:val="00F3730B"/>
    <w:rPr>
      <w:i/>
      <w:iCs/>
      <w:color w:val="70AD47" w:themeColor="accent6"/>
    </w:rPr>
  </w:style>
  <w:style w:type="paragraph" w:styleId="NoSpacing">
    <w:name w:val="No Spacing"/>
    <w:uiPriority w:val="1"/>
    <w:qFormat/>
    <w:rsid w:val="00F373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730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F3730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30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30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3730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373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3730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3730B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F3730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730B"/>
    <w:pPr>
      <w:outlineLvl w:val="9"/>
    </w:pPr>
  </w:style>
  <w:style w:type="paragraph" w:customStyle="1" w:styleId="Tabletext">
    <w:name w:val="Table text"/>
    <w:basedOn w:val="Normal"/>
    <w:qFormat/>
    <w:rsid w:val="001533B5"/>
    <w:pPr>
      <w:spacing w:before="120" w:after="120" w:line="200" w:lineRule="atLeast"/>
    </w:pPr>
    <w:rPr>
      <w:rFonts w:eastAsiaTheme="minorHAnsi"/>
      <w:sz w:val="18"/>
      <w:szCs w:val="22"/>
      <w:lang w:val="en-US"/>
    </w:rPr>
  </w:style>
  <w:style w:type="table" w:styleId="TableGrid">
    <w:name w:val="Table Grid"/>
    <w:basedOn w:val="TableNormal"/>
    <w:uiPriority w:val="99"/>
    <w:rsid w:val="001533B5"/>
    <w:pPr>
      <w:spacing w:after="0" w:line="240" w:lineRule="auto"/>
    </w:pPr>
    <w:rPr>
      <w:rFonts w:eastAsiaTheme="minorHAnsi"/>
      <w:sz w:val="22"/>
      <w:szCs w:val="22"/>
    </w:rPr>
    <w:tblPr>
      <w:tblInd w:w="0" w:type="nil"/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0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FEB17F2767C4FBC550B0D88916A98" ma:contentTypeVersion="14" ma:contentTypeDescription="Create a new document." ma:contentTypeScope="" ma:versionID="15ca8c74c28b9e23f4f117418d48262a">
  <xsd:schema xmlns:xsd="http://www.w3.org/2001/XMLSchema" xmlns:xs="http://www.w3.org/2001/XMLSchema" xmlns:p="http://schemas.microsoft.com/office/2006/metadata/properties" xmlns:ns3="9f918311-2d72-4bb7-a908-7ab87ccb776e" xmlns:ns4="3740f0e1-beb6-44ba-86d9-4930d76c10d9" targetNamespace="http://schemas.microsoft.com/office/2006/metadata/properties" ma:root="true" ma:fieldsID="3f67bb97746f04e0fdb031055739b2c5" ns3:_="" ns4:_="">
    <xsd:import namespace="9f918311-2d72-4bb7-a908-7ab87ccb776e"/>
    <xsd:import namespace="3740f0e1-beb6-44ba-86d9-4930d76c10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8311-2d72-4bb7-a908-7ab87ccb7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0f0e1-beb6-44ba-86d9-4930d76c1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6a5190f-ebbd-42e3-bc8b-869af9a80cc9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C4F94-00ED-4707-B34F-950DE4816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18311-2d72-4bb7-a908-7ab87ccb776e"/>
    <ds:schemaRef ds:uri="3740f0e1-beb6-44ba-86d9-4930d76c1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6A10E-566C-47AA-9A7E-210445761E9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DC9B367-CF42-4B1D-8F02-0C101788C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F5CB11-B889-47A5-8D41-8ACBCFC62B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Tobutt</dc:creator>
  <cp:keywords/>
  <dc:description/>
  <cp:lastModifiedBy>Paul Batcup</cp:lastModifiedBy>
  <cp:revision>2</cp:revision>
  <dcterms:created xsi:type="dcterms:W3CDTF">2019-11-20T17:05:00Z</dcterms:created>
  <dcterms:modified xsi:type="dcterms:W3CDTF">2019-11-20T17:05:00Z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0x010100ECFFEB17F2767C4FBC550B0D88916A98</vt:lpwstr>
  </property>
</Properties>
</file>